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75" w:rsidRDefault="00CD45C0">
      <w:pPr>
        <w:rPr>
          <w:b/>
        </w:rPr>
      </w:pPr>
      <w:bookmarkStart w:id="0" w:name="_GoBack"/>
      <w:bookmarkEnd w:id="0"/>
      <w:r>
        <w:rPr>
          <w:b/>
        </w:rPr>
        <w:t>Annual Report of the National Brewing Library at Oxford Brookes University</w:t>
      </w:r>
    </w:p>
    <w:p w:rsidR="00C06D75" w:rsidRDefault="00CD45C0">
      <w:r>
        <w:t>October 2016 - September 2017</w:t>
      </w:r>
    </w:p>
    <w:p w:rsidR="00C06D75" w:rsidRDefault="00C06D75"/>
    <w:p w:rsidR="00C06D75" w:rsidRDefault="00C06D75"/>
    <w:p w:rsidR="00C06D75" w:rsidRDefault="00CD45C0">
      <w:pPr>
        <w:rPr>
          <w:b/>
        </w:rPr>
      </w:pPr>
      <w:r>
        <w:rPr>
          <w:b/>
        </w:rPr>
        <w:t>Management Committee</w:t>
      </w:r>
    </w:p>
    <w:p w:rsidR="00C06D75" w:rsidRDefault="00C06D75">
      <w:pPr>
        <w:rPr>
          <w:b/>
        </w:rPr>
      </w:pPr>
    </w:p>
    <w:p w:rsidR="00C06D75" w:rsidRDefault="00CD45C0">
      <w:r>
        <w:t>The Management Committee met in November 2016 and May 2017. Matters considered during the year included:</w:t>
      </w:r>
    </w:p>
    <w:p w:rsidR="00C06D75" w:rsidRDefault="00C06D75"/>
    <w:p w:rsidR="00C06D75" w:rsidRDefault="00CD45C0">
      <w:pPr>
        <w:numPr>
          <w:ilvl w:val="0"/>
          <w:numId w:val="3"/>
        </w:numPr>
        <w:contextualSpacing/>
      </w:pPr>
      <w:r>
        <w:t xml:space="preserve">The archive material was thoroughly reviewed and weeded by Ray Anderson, Don Marshall and Eleanor Possart with criteria for withdrawal approved by the committee. </w:t>
      </w:r>
    </w:p>
    <w:p w:rsidR="00C06D75" w:rsidRDefault="00C06D75"/>
    <w:p w:rsidR="00C06D75" w:rsidRDefault="00CD45C0">
      <w:pPr>
        <w:numPr>
          <w:ilvl w:val="0"/>
          <w:numId w:val="3"/>
        </w:numPr>
        <w:contextualSpacing/>
      </w:pPr>
      <w:r>
        <w:t>Two plaques were created to commemorate the contributions of Chris Marchbanks, Brewing Techn</w:t>
      </w:r>
      <w:r>
        <w:t>ologist and key player in the development of the National Brewing Library (NBL)  at Brookes. These plaques will be used in display cases showcasing materials from the NBL, including the larger plaque permanently used for the case purchased with donations m</w:t>
      </w:r>
      <w:r>
        <w:t>ade in memory of Chris.</w:t>
      </w:r>
    </w:p>
    <w:p w:rsidR="00C06D75" w:rsidRDefault="00C06D75"/>
    <w:p w:rsidR="00C06D75" w:rsidRDefault="00C06D75"/>
    <w:p w:rsidR="00C06D75" w:rsidRDefault="00CD45C0">
      <w:pPr>
        <w:rPr>
          <w:b/>
        </w:rPr>
      </w:pPr>
      <w:r>
        <w:rPr>
          <w:b/>
        </w:rPr>
        <w:t>Membership</w:t>
      </w:r>
    </w:p>
    <w:p w:rsidR="00C06D75" w:rsidRDefault="00C06D75"/>
    <w:p w:rsidR="00C06D75" w:rsidRDefault="00CD45C0">
      <w:pPr>
        <w:rPr>
          <w:color w:val="333333"/>
          <w:sz w:val="21"/>
          <w:szCs w:val="21"/>
          <w:highlight w:val="white"/>
        </w:rPr>
      </w:pPr>
      <w:r>
        <w:t>Mike Butterworth (IBD) and Peter Lugosi (OBU - Reader: Oxford School of Hospitality) were welcomed to their first meeting 28/11/16.</w:t>
      </w:r>
    </w:p>
    <w:p w:rsidR="00C06D75" w:rsidRDefault="00C06D75">
      <w:pPr>
        <w:rPr>
          <w:b/>
        </w:rPr>
      </w:pPr>
    </w:p>
    <w:p w:rsidR="00C06D75" w:rsidRDefault="00C06D75">
      <w:pPr>
        <w:rPr>
          <w:b/>
        </w:rPr>
      </w:pPr>
    </w:p>
    <w:p w:rsidR="00C06D75" w:rsidRDefault="00CD45C0">
      <w:r>
        <w:rPr>
          <w:b/>
        </w:rPr>
        <w:t>Use of the NBL</w:t>
      </w:r>
    </w:p>
    <w:p w:rsidR="00C06D75" w:rsidRDefault="00CD45C0">
      <w:r>
        <w:t xml:space="preserve"> </w:t>
      </w:r>
    </w:p>
    <w:p w:rsidR="00C06D75" w:rsidRDefault="00CD45C0">
      <w:r>
        <w:t xml:space="preserve">The total number of individual visits to the NBL for the last five </w:t>
      </w:r>
      <w:r>
        <w:t>years:</w:t>
      </w:r>
    </w:p>
    <w:p w:rsidR="00C06D75" w:rsidRDefault="00C06D75"/>
    <w:tbl>
      <w:tblPr>
        <w:tblStyle w:val="a"/>
        <w:tblW w:w="4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2055"/>
      </w:tblGrid>
      <w:tr w:rsidR="00C06D75">
        <w:tc>
          <w:tcPr>
            <w:tcW w:w="2010" w:type="dxa"/>
            <w:shd w:val="clear" w:color="auto" w:fill="auto"/>
            <w:tcMar>
              <w:top w:w="100" w:type="dxa"/>
              <w:left w:w="100" w:type="dxa"/>
              <w:bottom w:w="100" w:type="dxa"/>
              <w:right w:w="100" w:type="dxa"/>
            </w:tcMar>
          </w:tcPr>
          <w:p w:rsidR="00C06D75" w:rsidRDefault="00CD45C0">
            <w:pPr>
              <w:widowControl w:val="0"/>
              <w:spacing w:line="240" w:lineRule="auto"/>
            </w:pPr>
            <w:r>
              <w:t>2016-17</w:t>
            </w:r>
          </w:p>
        </w:tc>
        <w:tc>
          <w:tcPr>
            <w:tcW w:w="2055" w:type="dxa"/>
            <w:shd w:val="clear" w:color="auto" w:fill="auto"/>
            <w:tcMar>
              <w:top w:w="100" w:type="dxa"/>
              <w:left w:w="100" w:type="dxa"/>
              <w:bottom w:w="100" w:type="dxa"/>
              <w:right w:w="100" w:type="dxa"/>
            </w:tcMar>
          </w:tcPr>
          <w:p w:rsidR="00C06D75" w:rsidRDefault="00CD45C0">
            <w:pPr>
              <w:widowControl w:val="0"/>
              <w:spacing w:line="240" w:lineRule="auto"/>
            </w:pPr>
            <w:r>
              <w:t>28</w:t>
            </w:r>
          </w:p>
        </w:tc>
      </w:tr>
      <w:tr w:rsidR="00C06D75">
        <w:tc>
          <w:tcPr>
            <w:tcW w:w="2010" w:type="dxa"/>
            <w:shd w:val="clear" w:color="auto" w:fill="auto"/>
            <w:tcMar>
              <w:top w:w="100" w:type="dxa"/>
              <w:left w:w="100" w:type="dxa"/>
              <w:bottom w:w="100" w:type="dxa"/>
              <w:right w:w="100" w:type="dxa"/>
            </w:tcMar>
          </w:tcPr>
          <w:p w:rsidR="00C06D75" w:rsidRDefault="00CD45C0">
            <w:pPr>
              <w:widowControl w:val="0"/>
              <w:spacing w:line="240" w:lineRule="auto"/>
            </w:pPr>
            <w:r>
              <w:t>2015-16</w:t>
            </w:r>
          </w:p>
        </w:tc>
        <w:tc>
          <w:tcPr>
            <w:tcW w:w="2055" w:type="dxa"/>
            <w:shd w:val="clear" w:color="auto" w:fill="auto"/>
            <w:tcMar>
              <w:top w:w="100" w:type="dxa"/>
              <w:left w:w="100" w:type="dxa"/>
              <w:bottom w:w="100" w:type="dxa"/>
              <w:right w:w="100" w:type="dxa"/>
            </w:tcMar>
          </w:tcPr>
          <w:p w:rsidR="00C06D75" w:rsidRDefault="00CD45C0">
            <w:pPr>
              <w:widowControl w:val="0"/>
              <w:spacing w:line="240" w:lineRule="auto"/>
            </w:pPr>
            <w:r>
              <w:t>21</w:t>
            </w:r>
          </w:p>
        </w:tc>
      </w:tr>
      <w:tr w:rsidR="00C06D75">
        <w:tc>
          <w:tcPr>
            <w:tcW w:w="2010" w:type="dxa"/>
            <w:shd w:val="clear" w:color="auto" w:fill="auto"/>
            <w:tcMar>
              <w:top w:w="100" w:type="dxa"/>
              <w:left w:w="100" w:type="dxa"/>
              <w:bottom w:w="100" w:type="dxa"/>
              <w:right w:w="100" w:type="dxa"/>
            </w:tcMar>
          </w:tcPr>
          <w:p w:rsidR="00C06D75" w:rsidRDefault="00CD45C0">
            <w:pPr>
              <w:widowControl w:val="0"/>
              <w:spacing w:line="240" w:lineRule="auto"/>
            </w:pPr>
            <w:r>
              <w:t>2014- 15</w:t>
            </w:r>
          </w:p>
        </w:tc>
        <w:tc>
          <w:tcPr>
            <w:tcW w:w="2055" w:type="dxa"/>
            <w:shd w:val="clear" w:color="auto" w:fill="auto"/>
            <w:tcMar>
              <w:top w:w="100" w:type="dxa"/>
              <w:left w:w="100" w:type="dxa"/>
              <w:bottom w:w="100" w:type="dxa"/>
              <w:right w:w="100" w:type="dxa"/>
            </w:tcMar>
          </w:tcPr>
          <w:p w:rsidR="00C06D75" w:rsidRDefault="00CD45C0">
            <w:pPr>
              <w:widowControl w:val="0"/>
              <w:spacing w:line="240" w:lineRule="auto"/>
            </w:pPr>
            <w:r>
              <w:t>11</w:t>
            </w:r>
          </w:p>
        </w:tc>
      </w:tr>
      <w:tr w:rsidR="00C06D75">
        <w:tc>
          <w:tcPr>
            <w:tcW w:w="2010" w:type="dxa"/>
            <w:shd w:val="clear" w:color="auto" w:fill="auto"/>
            <w:tcMar>
              <w:top w:w="100" w:type="dxa"/>
              <w:left w:w="100" w:type="dxa"/>
              <w:bottom w:w="100" w:type="dxa"/>
              <w:right w:w="100" w:type="dxa"/>
            </w:tcMar>
          </w:tcPr>
          <w:p w:rsidR="00C06D75" w:rsidRDefault="00CD45C0">
            <w:pPr>
              <w:widowControl w:val="0"/>
              <w:spacing w:line="240" w:lineRule="auto"/>
            </w:pPr>
            <w:r>
              <w:t>2013- 14</w:t>
            </w:r>
          </w:p>
        </w:tc>
        <w:tc>
          <w:tcPr>
            <w:tcW w:w="2055" w:type="dxa"/>
            <w:shd w:val="clear" w:color="auto" w:fill="auto"/>
            <w:tcMar>
              <w:top w:w="100" w:type="dxa"/>
              <w:left w:w="100" w:type="dxa"/>
              <w:bottom w:w="100" w:type="dxa"/>
              <w:right w:w="100" w:type="dxa"/>
            </w:tcMar>
          </w:tcPr>
          <w:p w:rsidR="00C06D75" w:rsidRDefault="00CD45C0">
            <w:pPr>
              <w:widowControl w:val="0"/>
              <w:spacing w:line="240" w:lineRule="auto"/>
            </w:pPr>
            <w:r>
              <w:t>51</w:t>
            </w:r>
          </w:p>
        </w:tc>
      </w:tr>
      <w:tr w:rsidR="00C06D75">
        <w:tc>
          <w:tcPr>
            <w:tcW w:w="2010" w:type="dxa"/>
            <w:shd w:val="clear" w:color="auto" w:fill="auto"/>
            <w:tcMar>
              <w:top w:w="100" w:type="dxa"/>
              <w:left w:w="100" w:type="dxa"/>
              <w:bottom w:w="100" w:type="dxa"/>
              <w:right w:w="100" w:type="dxa"/>
            </w:tcMar>
          </w:tcPr>
          <w:p w:rsidR="00C06D75" w:rsidRDefault="00CD45C0">
            <w:pPr>
              <w:widowControl w:val="0"/>
              <w:spacing w:line="240" w:lineRule="auto"/>
            </w:pPr>
            <w:r>
              <w:t>2012- 13</w:t>
            </w:r>
          </w:p>
        </w:tc>
        <w:tc>
          <w:tcPr>
            <w:tcW w:w="2055" w:type="dxa"/>
            <w:shd w:val="clear" w:color="auto" w:fill="auto"/>
            <w:tcMar>
              <w:top w:w="100" w:type="dxa"/>
              <w:left w:w="100" w:type="dxa"/>
              <w:bottom w:w="100" w:type="dxa"/>
              <w:right w:w="100" w:type="dxa"/>
            </w:tcMar>
          </w:tcPr>
          <w:p w:rsidR="00C06D75" w:rsidRDefault="00CD45C0">
            <w:pPr>
              <w:widowControl w:val="0"/>
              <w:spacing w:line="240" w:lineRule="auto"/>
            </w:pPr>
            <w:r>
              <w:t>45</w:t>
            </w:r>
          </w:p>
        </w:tc>
      </w:tr>
    </w:tbl>
    <w:p w:rsidR="00C06D75" w:rsidRDefault="00C06D75">
      <w:pPr>
        <w:spacing w:after="160"/>
        <w:rPr>
          <w:color w:val="222222"/>
          <w:highlight w:val="white"/>
        </w:rPr>
      </w:pPr>
    </w:p>
    <w:p w:rsidR="00C06D75" w:rsidRDefault="00CD45C0">
      <w:r>
        <w:t>2016-17 New statistic- statistics for enquiries received by post, telephone or email:</w:t>
      </w:r>
    </w:p>
    <w:p w:rsidR="00C06D75" w:rsidRDefault="00CD45C0">
      <w:pPr>
        <w:rPr>
          <w:color w:val="0000FF"/>
        </w:rPr>
      </w:pPr>
      <w:r>
        <w:t xml:space="preserve">User enquiries - 31/ Internal enquiries- 2 (not included in 31) </w:t>
      </w:r>
    </w:p>
    <w:p w:rsidR="00C06D75" w:rsidRDefault="00C06D75">
      <w:pPr>
        <w:rPr>
          <w:color w:val="0000FF"/>
        </w:rPr>
      </w:pPr>
    </w:p>
    <w:p w:rsidR="00C06D75" w:rsidRDefault="00CD45C0">
      <w:pPr>
        <w:rPr>
          <w:color w:val="222222"/>
          <w:highlight w:val="white"/>
        </w:rPr>
      </w:pPr>
      <w:r>
        <w:t xml:space="preserve">We continue to look at ways of increasing the number of visitors and researchers, and for opportunities to host organised visits. </w:t>
      </w:r>
    </w:p>
    <w:p w:rsidR="00C06D75" w:rsidRDefault="00C06D75">
      <w:pPr>
        <w:spacing w:after="160"/>
        <w:ind w:hanging="360"/>
        <w:rPr>
          <w:color w:val="222222"/>
          <w:highlight w:val="white"/>
        </w:rPr>
      </w:pPr>
    </w:p>
    <w:p w:rsidR="00C06D75" w:rsidRDefault="00C06D75">
      <w:pPr>
        <w:rPr>
          <w:b/>
        </w:rPr>
      </w:pPr>
    </w:p>
    <w:p w:rsidR="00C06D75" w:rsidRDefault="00CD45C0">
      <w:pPr>
        <w:rPr>
          <w:b/>
        </w:rPr>
      </w:pPr>
      <w:r>
        <w:rPr>
          <w:b/>
        </w:rPr>
        <w:t>New additions/ donations</w:t>
      </w:r>
    </w:p>
    <w:p w:rsidR="00C06D75" w:rsidRDefault="00C06D75">
      <w:pPr>
        <w:rPr>
          <w:b/>
        </w:rPr>
      </w:pPr>
    </w:p>
    <w:p w:rsidR="00C06D75" w:rsidRDefault="00CD45C0">
      <w:r>
        <w:t>The Management Committee again record their thanks to donors. RA acquired 297 books 2016.</w:t>
      </w:r>
    </w:p>
    <w:p w:rsidR="00C06D75" w:rsidRDefault="00C06D75"/>
    <w:p w:rsidR="00C06D75" w:rsidRDefault="00CD45C0">
      <w:r>
        <w:t xml:space="preserve">Added to the NBL during the 2016- 17 Academic Year (902 items): </w:t>
      </w:r>
      <w:hyperlink r:id="rId6">
        <w:r>
          <w:rPr>
            <w:color w:val="1155CC"/>
            <w:u w:val="single"/>
          </w:rPr>
          <w:t>Donations and Purchases.</w:t>
        </w:r>
      </w:hyperlink>
    </w:p>
    <w:p w:rsidR="00C06D75" w:rsidRDefault="00C06D75"/>
    <w:p w:rsidR="00C06D75" w:rsidRDefault="00C06D75">
      <w:pPr>
        <w:rPr>
          <w:b/>
        </w:rPr>
      </w:pPr>
    </w:p>
    <w:p w:rsidR="00C06D75" w:rsidRDefault="00CD45C0">
      <w:pPr>
        <w:rPr>
          <w:b/>
        </w:rPr>
      </w:pPr>
      <w:r>
        <w:rPr>
          <w:b/>
        </w:rPr>
        <w:t>Book Cataloguing</w:t>
      </w:r>
    </w:p>
    <w:p w:rsidR="00C06D75" w:rsidRDefault="00C06D75">
      <w:pPr>
        <w:rPr>
          <w:b/>
        </w:rPr>
      </w:pPr>
    </w:p>
    <w:p w:rsidR="00C06D75" w:rsidRDefault="00CD45C0">
      <w:pPr>
        <w:rPr>
          <w:b/>
        </w:rPr>
      </w:pPr>
      <w:r>
        <w:t>The cataloguing of new NBL acquisitions, donatio</w:t>
      </w:r>
      <w:r>
        <w:t xml:space="preserve">ns and the backlog continues, and funding for this work has been agreed. </w:t>
      </w:r>
    </w:p>
    <w:p w:rsidR="00C06D75" w:rsidRDefault="00C06D75">
      <w:pPr>
        <w:rPr>
          <w:b/>
        </w:rPr>
      </w:pPr>
    </w:p>
    <w:p w:rsidR="00C06D75" w:rsidRDefault="00C06D75">
      <w:pPr>
        <w:rPr>
          <w:b/>
        </w:rPr>
      </w:pPr>
    </w:p>
    <w:p w:rsidR="00C06D75" w:rsidRDefault="00CD45C0">
      <w:pPr>
        <w:rPr>
          <w:b/>
        </w:rPr>
      </w:pPr>
      <w:r>
        <w:rPr>
          <w:b/>
        </w:rPr>
        <w:t>Web Pages</w:t>
      </w:r>
    </w:p>
    <w:p w:rsidR="00C06D75" w:rsidRDefault="00C06D75">
      <w:pPr>
        <w:rPr>
          <w:b/>
        </w:rPr>
      </w:pPr>
    </w:p>
    <w:p w:rsidR="00C06D75" w:rsidRDefault="00CD45C0">
      <w:pPr>
        <w:rPr>
          <w:b/>
        </w:rPr>
      </w:pPr>
      <w:r>
        <w:t xml:space="preserve">The NBL web pages were checked, and updated including a new list of European institutions with historical brewing libraries compiled by RA. Having contacted them all RC </w:t>
      </w:r>
      <w:r>
        <w:t>found five were able to put the NBL link on their web site.</w:t>
      </w:r>
    </w:p>
    <w:p w:rsidR="00C06D75" w:rsidRDefault="00C06D75">
      <w:pPr>
        <w:rPr>
          <w:b/>
        </w:rPr>
      </w:pPr>
    </w:p>
    <w:p w:rsidR="00C06D75" w:rsidRDefault="00C06D75">
      <w:pPr>
        <w:rPr>
          <w:b/>
        </w:rPr>
      </w:pPr>
    </w:p>
    <w:p w:rsidR="00C06D75" w:rsidRDefault="00CD45C0">
      <w:pPr>
        <w:rPr>
          <w:b/>
        </w:rPr>
      </w:pPr>
      <w:r>
        <w:rPr>
          <w:b/>
        </w:rPr>
        <w:t>Publicity and Promotion</w:t>
      </w:r>
    </w:p>
    <w:p w:rsidR="00C06D75" w:rsidRDefault="00C06D75">
      <w:pPr>
        <w:rPr>
          <w:b/>
        </w:rPr>
      </w:pPr>
    </w:p>
    <w:p w:rsidR="00C06D75" w:rsidRDefault="00CD45C0">
      <w:r>
        <w:t>Notable publicity this year:</w:t>
      </w:r>
    </w:p>
    <w:p w:rsidR="00C06D75" w:rsidRDefault="00C06D75"/>
    <w:p w:rsidR="00C06D75" w:rsidRDefault="00CD45C0">
      <w:pPr>
        <w:numPr>
          <w:ilvl w:val="0"/>
          <w:numId w:val="1"/>
        </w:numPr>
        <w:contextualSpacing/>
        <w:rPr>
          <w:sz w:val="21"/>
          <w:szCs w:val="21"/>
        </w:rPr>
      </w:pPr>
      <w:r>
        <w:rPr>
          <w:sz w:val="21"/>
          <w:szCs w:val="21"/>
        </w:rPr>
        <w:t>RC and RA wrote an article about the NBL and its new home, which was published in the IBD</w:t>
      </w:r>
      <w:r>
        <w:rPr>
          <w:i/>
          <w:sz w:val="21"/>
          <w:szCs w:val="21"/>
        </w:rPr>
        <w:t xml:space="preserve"> Brewer and Distiller magazine</w:t>
      </w:r>
      <w:r>
        <w:rPr>
          <w:sz w:val="21"/>
          <w:szCs w:val="21"/>
        </w:rPr>
        <w:t>.</w:t>
      </w:r>
    </w:p>
    <w:p w:rsidR="00C06D75" w:rsidRDefault="00C06D75">
      <w:pPr>
        <w:rPr>
          <w:sz w:val="21"/>
          <w:szCs w:val="21"/>
        </w:rPr>
      </w:pPr>
    </w:p>
    <w:p w:rsidR="00C06D75" w:rsidRDefault="00CD45C0">
      <w:pPr>
        <w:numPr>
          <w:ilvl w:val="0"/>
          <w:numId w:val="1"/>
        </w:numPr>
        <w:contextualSpacing/>
        <w:rPr>
          <w:sz w:val="21"/>
          <w:szCs w:val="21"/>
        </w:rPr>
      </w:pPr>
      <w:r>
        <w:t xml:space="preserve">A new </w:t>
      </w:r>
      <w:hyperlink r:id="rId7">
        <w:r>
          <w:rPr>
            <w:color w:val="1155CC"/>
            <w:u w:val="single"/>
          </w:rPr>
          <w:t>leaflet</w:t>
        </w:r>
      </w:hyperlink>
      <w:r>
        <w:t xml:space="preserve"> was produced and approved by the committee.</w:t>
      </w:r>
    </w:p>
    <w:p w:rsidR="00C06D75" w:rsidRDefault="00C06D75"/>
    <w:p w:rsidR="00C06D75" w:rsidRDefault="00CD45C0">
      <w:pPr>
        <w:numPr>
          <w:ilvl w:val="0"/>
          <w:numId w:val="2"/>
        </w:numPr>
        <w:contextualSpacing/>
      </w:pPr>
      <w:r>
        <w:t xml:space="preserve"> National Brewing library articles continue to feature in the regular slot for Learning Resources in Brookes internal online Onstream magazine.</w:t>
      </w:r>
    </w:p>
    <w:p w:rsidR="00C06D75" w:rsidRDefault="00C06D75"/>
    <w:p w:rsidR="00C06D75" w:rsidRDefault="00C06D75"/>
    <w:p w:rsidR="00C06D75" w:rsidRDefault="00CD45C0">
      <w:pPr>
        <w:rPr>
          <w:b/>
        </w:rPr>
      </w:pPr>
      <w:r>
        <w:rPr>
          <w:b/>
        </w:rPr>
        <w:t>Brewers’ Research and Education Fund</w:t>
      </w:r>
    </w:p>
    <w:p w:rsidR="00C06D75" w:rsidRDefault="00C06D75">
      <w:pPr>
        <w:rPr>
          <w:b/>
        </w:rPr>
      </w:pPr>
    </w:p>
    <w:p w:rsidR="00C06D75" w:rsidRDefault="00CD45C0">
      <w:pPr>
        <w:rPr>
          <w:b/>
        </w:rPr>
      </w:pPr>
      <w:r>
        <w:t xml:space="preserve">Oxford Brookes University Library acknowledges, with thanks, receipt of </w:t>
      </w:r>
      <w:r>
        <w:t>the annual grant of £2,000 for 2016-17 from the Brewers’ Research and Education Fund. The grant contributes towards the day-to-day ongoing costs of supporting and maintaining the collection, e.g. cataloguing, stock management, access and an initial basic e</w:t>
      </w:r>
      <w:r>
        <w:t>nquiry service.</w:t>
      </w:r>
    </w:p>
    <w:p w:rsidR="00C06D75" w:rsidRDefault="00C06D75">
      <w:pPr>
        <w:rPr>
          <w:sz w:val="20"/>
          <w:szCs w:val="20"/>
        </w:rPr>
      </w:pPr>
    </w:p>
    <w:p w:rsidR="00C06D75" w:rsidRDefault="00C06D75">
      <w:pPr>
        <w:spacing w:after="140" w:line="360" w:lineRule="auto"/>
        <w:rPr>
          <w:highlight w:val="white"/>
        </w:rPr>
      </w:pPr>
    </w:p>
    <w:p w:rsidR="00C06D75" w:rsidRDefault="00C06D75">
      <w:pPr>
        <w:rPr>
          <w:color w:val="555555"/>
          <w:sz w:val="18"/>
          <w:szCs w:val="18"/>
          <w:highlight w:val="white"/>
        </w:rPr>
      </w:pPr>
    </w:p>
    <w:p w:rsidR="00C06D75" w:rsidRDefault="00CD45C0">
      <w:pPr>
        <w:jc w:val="right"/>
      </w:pPr>
      <w:r>
        <w:rPr>
          <w:i/>
        </w:rPr>
        <w:t>Robert Curry/ National Brewing Library Management Committee</w:t>
      </w:r>
    </w:p>
    <w:sectPr w:rsidR="00C06D7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A11"/>
    <w:multiLevelType w:val="multilevel"/>
    <w:tmpl w:val="5ABE7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6E531BA"/>
    <w:multiLevelType w:val="multilevel"/>
    <w:tmpl w:val="D77C4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9A1FAA"/>
    <w:multiLevelType w:val="multilevel"/>
    <w:tmpl w:val="063EC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06D75"/>
    <w:rsid w:val="00C06D75"/>
    <w:rsid w:val="00CD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adar.brookes.ac.uk/radar/file/f84135fe-8e13-4850-b7da-127dab64acb1/1/NBL%20Flyer%202017v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ar.brookes.ac.uk/radar/items/0814d7f5-c8bb-4e69-acab-ccdd2554de7a/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Robert Curry</cp:lastModifiedBy>
  <cp:revision>2</cp:revision>
  <dcterms:created xsi:type="dcterms:W3CDTF">2017-11-28T16:34:00Z</dcterms:created>
  <dcterms:modified xsi:type="dcterms:W3CDTF">2017-11-28T16:34:00Z</dcterms:modified>
</cp:coreProperties>
</file>